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9E" w:rsidRDefault="008D5132">
      <w:pPr>
        <w:pStyle w:val="TDC1"/>
        <w:rPr>
          <w:rFonts w:asciiTheme="minorHAnsi" w:eastAsiaTheme="minorEastAsia" w:hAnsiTheme="minorHAnsi" w:cstheme="minorBidi"/>
          <w:b w:val="0"/>
          <w:caps w:val="0"/>
          <w:szCs w:val="22"/>
        </w:rPr>
      </w:pPr>
      <w:r>
        <w:fldChar w:fldCharType="begin"/>
      </w:r>
      <w:r w:rsidR="00EC1C73">
        <w:instrText xml:space="preserve"> TOC \o "1-4" </w:instrText>
      </w:r>
      <w:r>
        <w:fldChar w:fldCharType="separate"/>
      </w:r>
      <w:r w:rsidR="00EA219E" w:rsidRPr="00100DFC">
        <w:t>1.-</w:t>
      </w:r>
      <w:r w:rsidR="00EA219E">
        <w:rPr>
          <w:rFonts w:asciiTheme="minorHAnsi" w:eastAsiaTheme="minorEastAsia" w:hAnsiTheme="minorHAnsi" w:cstheme="minorBidi"/>
          <w:b w:val="0"/>
          <w:caps w:val="0"/>
          <w:szCs w:val="22"/>
        </w:rPr>
        <w:tab/>
      </w:r>
      <w:r w:rsidR="00EA219E">
        <w:t>DRENAJE SUBCUENCAS AFLUENTES</w:t>
      </w:r>
      <w:r w:rsidR="00EA219E">
        <w:tab/>
      </w:r>
      <w:r>
        <w:fldChar w:fldCharType="begin"/>
      </w:r>
      <w:r w:rsidR="00EA219E">
        <w:instrText xml:space="preserve"> PAGEREF _Toc318736279 \h </w:instrText>
      </w:r>
      <w:r>
        <w:fldChar w:fldCharType="separate"/>
      </w:r>
      <w:r w:rsidR="00131C3C">
        <w:t>1</w:t>
      </w:r>
      <w:r>
        <w:fldChar w:fldCharType="end"/>
      </w:r>
    </w:p>
    <w:p w:rsidR="00EA219E" w:rsidRDefault="00EA219E">
      <w:pPr>
        <w:pStyle w:val="TDC1"/>
        <w:rPr>
          <w:rFonts w:asciiTheme="minorHAnsi" w:eastAsiaTheme="minorEastAsia" w:hAnsiTheme="minorHAnsi" w:cstheme="minorBidi"/>
          <w:b w:val="0"/>
          <w:caps w:val="0"/>
          <w:szCs w:val="22"/>
        </w:rPr>
      </w:pPr>
      <w:r w:rsidRPr="00100DFC">
        <w:t>2.-</w:t>
      </w:r>
      <w:r>
        <w:rPr>
          <w:rFonts w:asciiTheme="minorHAnsi" w:eastAsiaTheme="minorEastAsia" w:hAnsiTheme="minorHAnsi" w:cstheme="minorBidi"/>
          <w:b w:val="0"/>
          <w:caps w:val="0"/>
          <w:szCs w:val="22"/>
        </w:rPr>
        <w:tab/>
      </w:r>
      <w:r>
        <w:t>NUEVA SOLUCIÓN QUE SE PROYECTA</w:t>
      </w:r>
      <w:r>
        <w:tab/>
      </w:r>
      <w:r w:rsidR="008D5132">
        <w:fldChar w:fldCharType="begin"/>
      </w:r>
      <w:r>
        <w:instrText xml:space="preserve"> PAGEREF _Toc318736280 \h </w:instrText>
      </w:r>
      <w:r w:rsidR="008D5132">
        <w:fldChar w:fldCharType="separate"/>
      </w:r>
      <w:r w:rsidR="00131C3C">
        <w:t>1</w:t>
      </w:r>
      <w:r w:rsidR="008D5132">
        <w:fldChar w:fldCharType="end"/>
      </w:r>
    </w:p>
    <w:p w:rsidR="00EC1C73" w:rsidRDefault="008D5132" w:rsidP="008360F2">
      <w:pPr>
        <w:pStyle w:val="TDC1"/>
      </w:pPr>
      <w:r>
        <w:fldChar w:fldCharType="end"/>
      </w:r>
    </w:p>
    <w:p w:rsidR="00D760F0" w:rsidRDefault="00D760F0" w:rsidP="00D760F0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DOCUMENTO 1.- </w:t>
      </w:r>
      <w:r w:rsidR="00541B88">
        <w:rPr>
          <w:rFonts w:eastAsiaTheme="minorEastAsia"/>
          <w:b/>
        </w:rPr>
        <w:t>Drenaje subcuencas afluentes</w:t>
      </w:r>
      <w:r>
        <w:rPr>
          <w:rFonts w:eastAsiaTheme="minorEastAsia"/>
          <w:b/>
        </w:rPr>
        <w:t xml:space="preserve"> del proyecto vigente</w:t>
      </w:r>
    </w:p>
    <w:p w:rsidR="00EC1C73" w:rsidRDefault="00EC1C73" w:rsidP="00EC1C73">
      <w:pPr>
        <w:pStyle w:val="TDC1"/>
      </w:pPr>
    </w:p>
    <w:p w:rsidR="003F2B6A" w:rsidRDefault="003F2B6A" w:rsidP="008360F2">
      <w:pPr>
        <w:pStyle w:val="TDC1"/>
        <w:sectPr w:rsidR="003F2B6A" w:rsidSect="007421B0">
          <w:headerReference w:type="default" r:id="rId8"/>
          <w:footerReference w:type="default" r:id="rId9"/>
          <w:pgSz w:w="23814" w:h="16839" w:orient="landscape" w:code="8"/>
          <w:pgMar w:top="585" w:right="1418" w:bottom="1701" w:left="1985" w:header="709" w:footer="0" w:gutter="0"/>
          <w:cols w:num="2" w:space="1134"/>
          <w:docGrid w:linePitch="272"/>
        </w:sectPr>
      </w:pPr>
    </w:p>
    <w:p w:rsidR="00AB5886" w:rsidRDefault="009F7399">
      <w:pPr>
        <w:pStyle w:val="Ttulo1"/>
      </w:pPr>
      <w:bookmarkStart w:id="0" w:name="_Toc318736279"/>
      <w:r>
        <w:lastRenderedPageBreak/>
        <w:t>DRENAJE SUBCUENCAS AFLUENTES</w:t>
      </w:r>
      <w:bookmarkEnd w:id="0"/>
    </w:p>
    <w:p w:rsidR="00393408" w:rsidRDefault="00D12DF1" w:rsidP="006D70AE">
      <w:pPr>
        <w:rPr>
          <w:lang w:val="es-ES_tradnl"/>
        </w:rPr>
      </w:pPr>
      <w:r>
        <w:rPr>
          <w:lang w:val="es-ES_tradnl"/>
        </w:rPr>
        <w:t xml:space="preserve">El objeto del presente anejo </w:t>
      </w:r>
      <w:r w:rsidR="00031708">
        <w:rPr>
          <w:lang w:val="es-ES_tradnl"/>
        </w:rPr>
        <w:t xml:space="preserve">es el determinar los caudales de aguas pluviales que no pueden recogerse </w:t>
      </w:r>
      <w:r w:rsidR="00393408">
        <w:rPr>
          <w:lang w:val="es-ES_tradnl"/>
        </w:rPr>
        <w:t>mediante la red subterránea y que por escorrentía superficial alcanzan los puntos bajos del barrio de San Gabriel, en la margen derecha del barranco</w:t>
      </w:r>
      <w:r w:rsidR="006E318F">
        <w:rPr>
          <w:lang w:val="es-ES_tradnl"/>
        </w:rPr>
        <w:t>, así como el sistema previsto para su evacuación.</w:t>
      </w:r>
    </w:p>
    <w:p w:rsidR="006E318F" w:rsidRDefault="006E318F" w:rsidP="006E318F">
      <w:pPr>
        <w:rPr>
          <w:lang w:val="es-ES_tradnl"/>
        </w:rPr>
      </w:pPr>
      <w:r>
        <w:rPr>
          <w:lang w:val="es-ES_tradnl"/>
        </w:rPr>
        <w:t>En el proyecto vigente figura el correspondiente estudio, que se incluye al final de este anejo como documento nº 1.</w:t>
      </w:r>
      <w:r w:rsidR="00CA1820">
        <w:rPr>
          <w:lang w:val="es-ES_tradnl"/>
        </w:rPr>
        <w:t xml:space="preserve"> Se tachan en dicho documento tanto el punto 3 del anejo como el apéndice 2 correspondiente a los listados del Flow Master, ya que no tienen sentido con la actual solución modificada.</w:t>
      </w:r>
    </w:p>
    <w:p w:rsidR="00393408" w:rsidRDefault="00393408" w:rsidP="006D70AE">
      <w:pPr>
        <w:rPr>
          <w:lang w:val="es-ES_tradnl"/>
        </w:rPr>
      </w:pPr>
      <w:r>
        <w:rPr>
          <w:lang w:val="es-ES_tradnl"/>
        </w:rPr>
        <w:t>Los puntos bajos por los que las aguas pluviales deben evacuarse al barranco son:</w:t>
      </w:r>
    </w:p>
    <w:p w:rsidR="00393408" w:rsidRDefault="00393408" w:rsidP="00393408">
      <w:pPr>
        <w:pStyle w:val="Prrafodelista"/>
        <w:numPr>
          <w:ilvl w:val="0"/>
          <w:numId w:val="43"/>
        </w:numPr>
        <w:rPr>
          <w:lang w:val="es-ES_tradnl"/>
        </w:rPr>
      </w:pPr>
      <w:r w:rsidRPr="00C71555">
        <w:rPr>
          <w:b/>
          <w:lang w:val="es-ES_tradnl"/>
        </w:rPr>
        <w:t>Punto bajo situado en la Avda. de Elche, aguas arriba del puente de la N-332</w:t>
      </w:r>
      <w:r>
        <w:rPr>
          <w:lang w:val="es-ES_tradnl"/>
        </w:rPr>
        <w:t>. En la actualidad, las aguas de escorrentía que llegan a este punto se evacúan al barranco a través de unas ventanas practicadas en el murete de protección situado entre vial y cauce. La cota del vial en el punto de evacuación se sitúa en torno a la +2,00 m; teniendo en cuenta que en el estudio hidráulico realizado por la UPV se sitúa la lámina de agua en este punto, para T = 200 años, aproximadamente a la cota +1,40 m, no existirá problema alguno para pode desaguar superficialmente. Con la actuación que se realiza, se mantendrán las ventanas existentes y se abrirá un tramo de murete para conectar con el nuevo vial peatonal que se genera con la doble pantalla, situado también a cota +2,00 m hasta la calle Villena, con lo que las condiciones de evacuación serán incluso mejores.</w:t>
      </w:r>
    </w:p>
    <w:p w:rsidR="0042581C" w:rsidRDefault="0042581C" w:rsidP="0042581C">
      <w:pPr>
        <w:pStyle w:val="Prrafodelista"/>
        <w:rPr>
          <w:lang w:val="es-ES_tradnl"/>
        </w:rPr>
      </w:pPr>
    </w:p>
    <w:p w:rsidR="00393408" w:rsidRDefault="00393408" w:rsidP="00393408">
      <w:pPr>
        <w:pStyle w:val="Prrafodelista"/>
        <w:rPr>
          <w:lang w:val="es-ES_tradnl"/>
        </w:rPr>
      </w:pPr>
    </w:p>
    <w:p w:rsidR="00393408" w:rsidRPr="00393408" w:rsidRDefault="00C71555" w:rsidP="00393408">
      <w:pPr>
        <w:pStyle w:val="Prrafodelista"/>
        <w:numPr>
          <w:ilvl w:val="0"/>
          <w:numId w:val="43"/>
        </w:numPr>
        <w:rPr>
          <w:lang w:val="es-ES_tradnl"/>
        </w:rPr>
      </w:pPr>
      <w:r w:rsidRPr="00C71555">
        <w:rPr>
          <w:b/>
          <w:lang w:val="es-ES_tradnl"/>
        </w:rPr>
        <w:t>Obstáculo formado por el murete situado al final de la calle Villena</w:t>
      </w:r>
      <w:r>
        <w:rPr>
          <w:lang w:val="es-ES_tradnl"/>
        </w:rPr>
        <w:t xml:space="preserve">. El proyecto vigente contempla la ubicación en este punto de un imbornal de generosas dimensiones que recoge las aguas que allí se acumulen y se canalicen, bordeando del lado del barrio el edificio, con un colector de diámetro </w:t>
      </w:r>
      <w:r>
        <w:rPr>
          <w:rFonts w:cs="Arial"/>
          <w:lang w:val="es-ES_tradnl"/>
        </w:rPr>
        <w:t>Ø</w:t>
      </w:r>
      <w:r>
        <w:rPr>
          <w:lang w:val="es-ES_tradnl"/>
        </w:rPr>
        <w:t>800 mm hasta desaguar en el punto anterior aguas arriba de la N-332. Dado que en el presente proyecto modificado se prevé la demolición del citado murete, las aguas de lluvia que lleguen a este punto se podrán evacuar de forma superficial a través del nuevo vial generado sobre la doble pantalla, no siendo por tanto necesaria la construcción ni del imbornal ni de la canalización.</w:t>
      </w:r>
    </w:p>
    <w:p w:rsidR="00B227F8" w:rsidRPr="006D70AE" w:rsidRDefault="00B227F8" w:rsidP="006D70AE">
      <w:pPr>
        <w:rPr>
          <w:lang w:val="es-ES_tradnl"/>
        </w:rPr>
      </w:pPr>
    </w:p>
    <w:p w:rsidR="00AB5886" w:rsidRDefault="00B227F8" w:rsidP="00D760F0">
      <w:pPr>
        <w:pStyle w:val="Ttulo1"/>
      </w:pPr>
      <w:r>
        <w:br w:type="column"/>
      </w:r>
      <w:bookmarkStart w:id="1" w:name="_Toc318736280"/>
      <w:r w:rsidR="009F7399">
        <w:lastRenderedPageBreak/>
        <w:t>NUEVA SOLUCIÓN QUE SE PROYECTA</w:t>
      </w:r>
      <w:bookmarkEnd w:id="1"/>
    </w:p>
    <w:p w:rsidR="00D83BA0" w:rsidRDefault="00B227F8" w:rsidP="00D760F0">
      <w:r>
        <w:t xml:space="preserve">Por lo tanto, con la solución </w:t>
      </w:r>
      <w:r w:rsidR="0042581C">
        <w:t xml:space="preserve">ahora </w:t>
      </w:r>
      <w:r>
        <w:t>proyectada</w:t>
      </w:r>
      <w:r w:rsidR="0042581C">
        <w:t>, el caudal determinado en el anejo del proyecto vigente de 6,16 m</w:t>
      </w:r>
      <w:r w:rsidR="0042581C" w:rsidRPr="0042581C">
        <w:rPr>
          <w:vertAlign w:val="superscript"/>
        </w:rPr>
        <w:t>3</w:t>
      </w:r>
      <w:r w:rsidR="0042581C">
        <w:t xml:space="preserve">/s podrá ser evacuado correctamente de forma superficial, y en mejores condiciones que a través de un único tubo de diámetro </w:t>
      </w:r>
      <w:r w:rsidR="0042581C">
        <w:rPr>
          <w:rFonts w:cs="Arial"/>
        </w:rPr>
        <w:t>Ø</w:t>
      </w:r>
      <w:r w:rsidR="0042581C">
        <w:t>800 mm, saliendo tanto por la calle Villena como por el vial paralelo a la N-332.</w:t>
      </w:r>
    </w:p>
    <w:p w:rsidR="0042581C" w:rsidRDefault="0042581C" w:rsidP="00D760F0"/>
    <w:p w:rsidR="00D760F0" w:rsidRDefault="00B227F8" w:rsidP="00D760F0">
      <w:r>
        <w:rPr>
          <w:noProof/>
        </w:rPr>
        <w:drawing>
          <wp:inline distT="0" distB="0" distL="0" distR="0">
            <wp:extent cx="5902809" cy="3917774"/>
            <wp:effectExtent l="19050" t="19050" r="21741" b="25576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95" t="1993" r="1775" b="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809" cy="39177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0F0" w:rsidRPr="00D760F0" w:rsidRDefault="00D760F0" w:rsidP="00D760F0">
      <w:pPr>
        <w:sectPr w:rsidR="00D760F0" w:rsidRPr="00D760F0" w:rsidSect="00A34D24">
          <w:headerReference w:type="default" r:id="rId11"/>
          <w:footerReference w:type="default" r:id="rId12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D83BA0" w:rsidTr="00D83BA0">
        <w:tc>
          <w:tcPr>
            <w:tcW w:w="20551" w:type="dxa"/>
            <w:shd w:val="clear" w:color="auto" w:fill="0070C0"/>
          </w:tcPr>
          <w:p w:rsidR="00D83BA0" w:rsidRPr="00D83BA0" w:rsidRDefault="00532B51" w:rsidP="00FB2066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 xml:space="preserve">DOCUMENTO 1.- </w:t>
            </w:r>
            <w:r w:rsidR="00FB2066">
              <w:rPr>
                <w:b/>
                <w:color w:val="FFFFFF" w:themeColor="background1"/>
                <w:sz w:val="28"/>
                <w:szCs w:val="28"/>
                <w:lang w:val="es-ES_tradnl"/>
              </w:rPr>
              <w:t>Drenaje subcuencas afluentes</w:t>
            </w:r>
            <w:r w:rsidRPr="00532B51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 del proyecto vigente</w:t>
            </w:r>
          </w:p>
        </w:tc>
      </w:tr>
    </w:tbl>
    <w:p w:rsidR="008C0A71" w:rsidRPr="00FB2066" w:rsidRDefault="008C0A71" w:rsidP="00FB2066">
      <w:pPr>
        <w:tabs>
          <w:tab w:val="clear" w:pos="709"/>
        </w:tabs>
        <w:spacing w:before="120" w:after="120"/>
        <w:jc w:val="left"/>
        <w:rPr>
          <w:lang w:val="es-ES_tradnl"/>
        </w:rPr>
      </w:pPr>
    </w:p>
    <w:sectPr w:rsidR="008C0A71" w:rsidRPr="00FB2066" w:rsidSect="00D83BA0">
      <w:footerReference w:type="default" r:id="rId13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53" w:rsidRDefault="00A62753">
      <w:r>
        <w:separator/>
      </w:r>
    </w:p>
  </w:endnote>
  <w:endnote w:type="continuationSeparator" w:id="1">
    <w:p w:rsidR="00A62753" w:rsidRDefault="00A62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9B1680" w:rsidRPr="00E15BD9" w:rsidTr="00E15BD9">
      <w:tc>
        <w:tcPr>
          <w:tcW w:w="20551" w:type="dxa"/>
        </w:tcPr>
        <w:p w:rsidR="009B1680" w:rsidRPr="00E15BD9" w:rsidRDefault="00E15BD9" w:rsidP="00E53077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9B1680" w:rsidRPr="00E15BD9" w:rsidRDefault="009B1680" w:rsidP="00F2174D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 w:rsidR="00F2174D">
            <w:rPr>
              <w:rFonts w:cs="Arial"/>
              <w:b/>
              <w:color w:val="002060"/>
              <w:sz w:val="20"/>
            </w:rPr>
            <w:t>9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 w:rsidR="00F2174D">
            <w:rPr>
              <w:rFonts w:cs="Arial"/>
              <w:b/>
              <w:color w:val="002060"/>
              <w:sz w:val="20"/>
            </w:rPr>
            <w:t>DRENAJE SUBCUENCAS AFLUENTES</w:t>
          </w:r>
        </w:p>
      </w:tc>
    </w:tr>
  </w:tbl>
  <w:p w:rsidR="009B1680" w:rsidRDefault="009B1680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5F3A27" w:rsidTr="00F7613F">
      <w:tc>
        <w:tcPr>
          <w:tcW w:w="20551" w:type="dxa"/>
        </w:tcPr>
        <w:p w:rsidR="00F7613F" w:rsidRPr="00F7613F" w:rsidRDefault="00F7613F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5F3A27" w:rsidRPr="00F7613F" w:rsidRDefault="00F2174D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9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DRENAJE SUBCUENCAS AFLUENTES</w:t>
          </w:r>
          <w:r w:rsidR="00F70B47">
            <w:rPr>
              <w:rFonts w:cs="Arial"/>
              <w:b/>
              <w:color w:val="002060"/>
              <w:sz w:val="20"/>
            </w:rPr>
            <w:t>.</w:t>
          </w:r>
          <w:r w:rsidR="005F3A27"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="008D5132"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="005F3A27"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="008D5132"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131C3C">
            <w:rPr>
              <w:rFonts w:cs="Arial"/>
              <w:b/>
              <w:noProof/>
              <w:color w:val="002060"/>
              <w:sz w:val="20"/>
            </w:rPr>
            <w:t>1</w:t>
          </w:r>
          <w:r w:rsidR="008D5132"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5F3A27" w:rsidRDefault="005F3A27" w:rsidP="005F3A27">
    <w:pPr>
      <w:pStyle w:val="Piedepgina"/>
      <w:spacing w:before="0"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D83BA0" w:rsidTr="00F7613F">
      <w:tc>
        <w:tcPr>
          <w:tcW w:w="20551" w:type="dxa"/>
        </w:tcPr>
        <w:p w:rsidR="00D83BA0" w:rsidRPr="00F7613F" w:rsidRDefault="00D83BA0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D83BA0" w:rsidRPr="00F7613F" w:rsidRDefault="00F2174D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9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DRENAJE SUBCUENCAS AFLUENTES</w:t>
          </w:r>
        </w:p>
      </w:tc>
    </w:tr>
  </w:tbl>
  <w:p w:rsidR="00D83BA0" w:rsidRDefault="00D83BA0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53" w:rsidRDefault="00A62753">
      <w:r>
        <w:separator/>
      </w:r>
    </w:p>
  </w:footnote>
  <w:footnote w:type="continuationSeparator" w:id="1">
    <w:p w:rsidR="00A62753" w:rsidRDefault="00A62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9" w:rsidRPr="001E3AFB" w:rsidRDefault="00A54359" w:rsidP="007421B0">
    <w:pPr>
      <w:pStyle w:val="Encabezado"/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  <w:tbl>
    <w:tblPr>
      <w:tblStyle w:val="Tablaconcuadrcula"/>
      <w:tblW w:w="20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89"/>
      <w:gridCol w:w="10662"/>
    </w:tblGrid>
    <w:tr w:rsidR="001E3AFB" w:rsidTr="001E3AFB">
      <w:tc>
        <w:tcPr>
          <w:tcW w:w="9889" w:type="dxa"/>
        </w:tcPr>
        <w:p w:rsidR="001E3AFB" w:rsidRPr="001E3AFB" w:rsidRDefault="001E3AFB" w:rsidP="007421B0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  <w:tc>
        <w:tcPr>
          <w:tcW w:w="10662" w:type="dxa"/>
        </w:tcPr>
        <w:p w:rsidR="001E3AFB" w:rsidRPr="001E3AFB" w:rsidRDefault="001E3AFB" w:rsidP="0007363E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</w:tr>
  </w:tbl>
  <w:p w:rsidR="001B0EDC" w:rsidRPr="00A54778" w:rsidRDefault="001B0EDC" w:rsidP="00E42454">
    <w:pPr>
      <w:pStyle w:val="Encabezado"/>
      <w:spacing w:before="0" w:after="0"/>
      <w:rPr>
        <w:b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27" w:rsidRPr="00A54778" w:rsidRDefault="005F3A27" w:rsidP="005F3A27">
    <w:pPr>
      <w:pStyle w:val="Encabezado"/>
      <w:spacing w:after="0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9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52DB3"/>
    <w:multiLevelType w:val="hybridMultilevel"/>
    <w:tmpl w:val="E1CCE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83A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4D0E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2963202"/>
    <w:multiLevelType w:val="singleLevel"/>
    <w:tmpl w:val="A2CCDBFE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43035C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C7E5212"/>
    <w:multiLevelType w:val="singleLevel"/>
    <w:tmpl w:val="6620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21709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FE122D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0092F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1B12A0C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20418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913B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642E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B43560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B4371B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B674BF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E2C77DD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F8367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28376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3E808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C92C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64F397B"/>
    <w:multiLevelType w:val="hybridMultilevel"/>
    <w:tmpl w:val="B82AC1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743B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80B3D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3DBD3D8E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1A87F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BD1647E"/>
    <w:multiLevelType w:val="hybridMultilevel"/>
    <w:tmpl w:val="1054E3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8256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EDB6D2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20007D4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40054C2"/>
    <w:multiLevelType w:val="hybridMultilevel"/>
    <w:tmpl w:val="532646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552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D030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E400DC2"/>
    <w:multiLevelType w:val="hybridMultilevel"/>
    <w:tmpl w:val="15B89888"/>
    <w:lvl w:ilvl="0" w:tplc="0C0A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5">
    <w:nsid w:val="60CA5E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AA75B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DC025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2E20B19"/>
    <w:multiLevelType w:val="singleLevel"/>
    <w:tmpl w:val="DD00FBA8"/>
    <w:lvl w:ilvl="0">
      <w:start w:val="1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40">
    <w:nsid w:val="763F29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B9D06AA"/>
    <w:multiLevelType w:val="singleLevel"/>
    <w:tmpl w:val="9F82CCD2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2">
    <w:nsid w:val="7C72759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32"/>
  </w:num>
  <w:num w:numId="4">
    <w:abstractNumId w:val="23"/>
  </w:num>
  <w:num w:numId="5">
    <w:abstractNumId w:val="35"/>
  </w:num>
  <w:num w:numId="6">
    <w:abstractNumId w:val="26"/>
  </w:num>
  <w:num w:numId="7">
    <w:abstractNumId w:val="29"/>
  </w:num>
  <w:num w:numId="8">
    <w:abstractNumId w:val="20"/>
  </w:num>
  <w:num w:numId="9">
    <w:abstractNumId w:val="6"/>
  </w:num>
  <w:num w:numId="10">
    <w:abstractNumId w:val="15"/>
  </w:num>
  <w:num w:numId="11">
    <w:abstractNumId w:val="7"/>
  </w:num>
  <w:num w:numId="12">
    <w:abstractNumId w:val="18"/>
  </w:num>
  <w:num w:numId="13">
    <w:abstractNumId w:val="9"/>
  </w:num>
  <w:num w:numId="14">
    <w:abstractNumId w:val="8"/>
  </w:num>
  <w:num w:numId="15">
    <w:abstractNumId w:val="21"/>
  </w:num>
  <w:num w:numId="16">
    <w:abstractNumId w:val="10"/>
  </w:num>
  <w:num w:numId="17">
    <w:abstractNumId w:val="30"/>
  </w:num>
  <w:num w:numId="18">
    <w:abstractNumId w:val="0"/>
  </w:num>
  <w:num w:numId="19">
    <w:abstractNumId w:val="25"/>
  </w:num>
  <w:num w:numId="20">
    <w:abstractNumId w:val="17"/>
  </w:num>
  <w:num w:numId="21">
    <w:abstractNumId w:val="5"/>
  </w:num>
  <w:num w:numId="22">
    <w:abstractNumId w:val="42"/>
  </w:num>
  <w:num w:numId="23">
    <w:abstractNumId w:val="14"/>
  </w:num>
  <w:num w:numId="24">
    <w:abstractNumId w:val="16"/>
  </w:num>
  <w:num w:numId="25">
    <w:abstractNumId w:val="2"/>
  </w:num>
  <w:num w:numId="26">
    <w:abstractNumId w:val="37"/>
  </w:num>
  <w:num w:numId="27">
    <w:abstractNumId w:val="12"/>
  </w:num>
  <w:num w:numId="28">
    <w:abstractNumId w:val="19"/>
  </w:num>
  <w:num w:numId="29">
    <w:abstractNumId w:val="36"/>
  </w:num>
  <w:num w:numId="30">
    <w:abstractNumId w:val="3"/>
  </w:num>
  <w:num w:numId="31">
    <w:abstractNumId w:val="24"/>
  </w:num>
  <w:num w:numId="32">
    <w:abstractNumId w:val="38"/>
  </w:num>
  <w:num w:numId="33">
    <w:abstractNumId w:val="4"/>
  </w:num>
  <w:num w:numId="34">
    <w:abstractNumId w:val="28"/>
  </w:num>
  <w:num w:numId="35">
    <w:abstractNumId w:val="41"/>
  </w:num>
  <w:num w:numId="36">
    <w:abstractNumId w:val="13"/>
  </w:num>
  <w:num w:numId="37">
    <w:abstractNumId w:val="11"/>
  </w:num>
  <w:num w:numId="38">
    <w:abstractNumId w:val="40"/>
  </w:num>
  <w:num w:numId="39">
    <w:abstractNumId w:val="22"/>
  </w:num>
  <w:num w:numId="40">
    <w:abstractNumId w:val="34"/>
  </w:num>
  <w:num w:numId="41">
    <w:abstractNumId w:val="1"/>
  </w:num>
  <w:num w:numId="42">
    <w:abstractNumId w:val="27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43F08"/>
    <w:rsid w:val="00031708"/>
    <w:rsid w:val="00053856"/>
    <w:rsid w:val="0007042D"/>
    <w:rsid w:val="000E5E87"/>
    <w:rsid w:val="00131C3C"/>
    <w:rsid w:val="00141F87"/>
    <w:rsid w:val="00181F3F"/>
    <w:rsid w:val="001B0EDC"/>
    <w:rsid w:val="001E3A52"/>
    <w:rsid w:val="001E3AFB"/>
    <w:rsid w:val="001F3DF5"/>
    <w:rsid w:val="00240D42"/>
    <w:rsid w:val="00242A9F"/>
    <w:rsid w:val="00263D9B"/>
    <w:rsid w:val="002D0EA0"/>
    <w:rsid w:val="002E7D61"/>
    <w:rsid w:val="002F0779"/>
    <w:rsid w:val="00393408"/>
    <w:rsid w:val="003C37F9"/>
    <w:rsid w:val="003F2B6A"/>
    <w:rsid w:val="0042581C"/>
    <w:rsid w:val="0047591D"/>
    <w:rsid w:val="00487358"/>
    <w:rsid w:val="0049104C"/>
    <w:rsid w:val="004B1A05"/>
    <w:rsid w:val="00532B51"/>
    <w:rsid w:val="00541B88"/>
    <w:rsid w:val="005667BD"/>
    <w:rsid w:val="0056684B"/>
    <w:rsid w:val="005976C9"/>
    <w:rsid w:val="005B4A66"/>
    <w:rsid w:val="005F3A27"/>
    <w:rsid w:val="006613E1"/>
    <w:rsid w:val="00661CB7"/>
    <w:rsid w:val="006727E9"/>
    <w:rsid w:val="006867BB"/>
    <w:rsid w:val="006A582D"/>
    <w:rsid w:val="006A76CE"/>
    <w:rsid w:val="006D70AE"/>
    <w:rsid w:val="006E2F3A"/>
    <w:rsid w:val="006E318F"/>
    <w:rsid w:val="006F356A"/>
    <w:rsid w:val="007421B0"/>
    <w:rsid w:val="0074767A"/>
    <w:rsid w:val="00786FCD"/>
    <w:rsid w:val="007A7129"/>
    <w:rsid w:val="007B6DDC"/>
    <w:rsid w:val="00825224"/>
    <w:rsid w:val="008360F2"/>
    <w:rsid w:val="00890AC4"/>
    <w:rsid w:val="008C0A71"/>
    <w:rsid w:val="008D5132"/>
    <w:rsid w:val="008E3FC6"/>
    <w:rsid w:val="008E5B2A"/>
    <w:rsid w:val="00905BEC"/>
    <w:rsid w:val="00914DD4"/>
    <w:rsid w:val="00951CA3"/>
    <w:rsid w:val="009A7422"/>
    <w:rsid w:val="009B1680"/>
    <w:rsid w:val="009F106B"/>
    <w:rsid w:val="009F7399"/>
    <w:rsid w:val="00A34D24"/>
    <w:rsid w:val="00A54359"/>
    <w:rsid w:val="00A54778"/>
    <w:rsid w:val="00A62753"/>
    <w:rsid w:val="00AB5886"/>
    <w:rsid w:val="00AC4BEE"/>
    <w:rsid w:val="00AC4EC8"/>
    <w:rsid w:val="00AD1FD4"/>
    <w:rsid w:val="00B227F8"/>
    <w:rsid w:val="00BB5104"/>
    <w:rsid w:val="00BD0A4A"/>
    <w:rsid w:val="00BE20E0"/>
    <w:rsid w:val="00BF7681"/>
    <w:rsid w:val="00C11D69"/>
    <w:rsid w:val="00C21A70"/>
    <w:rsid w:val="00C2636F"/>
    <w:rsid w:val="00C43F08"/>
    <w:rsid w:val="00C46206"/>
    <w:rsid w:val="00C71555"/>
    <w:rsid w:val="00CA1820"/>
    <w:rsid w:val="00D01FF9"/>
    <w:rsid w:val="00D12DF1"/>
    <w:rsid w:val="00D17426"/>
    <w:rsid w:val="00D760F0"/>
    <w:rsid w:val="00D83BA0"/>
    <w:rsid w:val="00E15BD9"/>
    <w:rsid w:val="00E24A67"/>
    <w:rsid w:val="00E33C13"/>
    <w:rsid w:val="00E42454"/>
    <w:rsid w:val="00E53077"/>
    <w:rsid w:val="00E822D4"/>
    <w:rsid w:val="00EA219E"/>
    <w:rsid w:val="00EC1C73"/>
    <w:rsid w:val="00F2174D"/>
    <w:rsid w:val="00F25B1D"/>
    <w:rsid w:val="00F67360"/>
    <w:rsid w:val="00F70B47"/>
    <w:rsid w:val="00F7613F"/>
    <w:rsid w:val="00FB2066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32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32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32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32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32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32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32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32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32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3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95A-CC4F-4C04-8D51-97DCE8B9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Fernando</cp:lastModifiedBy>
  <cp:revision>15</cp:revision>
  <cp:lastPrinted>2012-03-05T17:45:00Z</cp:lastPrinted>
  <dcterms:created xsi:type="dcterms:W3CDTF">2012-03-05T16:12:00Z</dcterms:created>
  <dcterms:modified xsi:type="dcterms:W3CDTF">2012-03-05T17:45:00Z</dcterms:modified>
</cp:coreProperties>
</file>